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8449"/>
      </w:tblGrid>
      <w:tr w:rsidR="00C75878" w:rsidRPr="00C75878" w14:paraId="2F3E4B8F" w14:textId="77777777" w:rsidTr="009203C6"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4C312" w14:textId="77777777" w:rsidR="00C75878" w:rsidRPr="00C75878" w:rsidRDefault="00C75878" w:rsidP="00C7587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6ED777" wp14:editId="7E4CDFF2">
                  <wp:extent cx="819150" cy="923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C74FD" w14:textId="77777777" w:rsidR="00C75878" w:rsidRPr="00C75878" w:rsidRDefault="00C75878" w:rsidP="00C7587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</w:pPr>
          </w:p>
          <w:p w14:paraId="5850D3AB" w14:textId="77777777" w:rsidR="00C75878" w:rsidRPr="00C75878" w:rsidRDefault="00C75878" w:rsidP="00C7587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color w:val="0000FF"/>
                <w:sz w:val="36"/>
                <w:szCs w:val="20"/>
                <w:lang w:eastAsia="it-IT"/>
              </w:rPr>
            </w:pPr>
            <w:r w:rsidRPr="00C75878">
              <w:rPr>
                <w:rFonts w:ascii="Arial" w:eastAsia="Times New Roman" w:hAnsi="Arial" w:cs="Times New Roman"/>
                <w:i/>
                <w:color w:val="0000FF"/>
                <w:sz w:val="36"/>
                <w:szCs w:val="20"/>
                <w:lang w:eastAsia="it-IT"/>
              </w:rPr>
              <w:t>COMUNE DI SAN LORENZO MAGGIORE</w:t>
            </w:r>
          </w:p>
          <w:p w14:paraId="2FD52515" w14:textId="77777777" w:rsidR="00C75878" w:rsidRPr="00C75878" w:rsidRDefault="00C75878" w:rsidP="00C75878">
            <w:pPr>
              <w:pBdr>
                <w:bottom w:val="single" w:sz="6" w:space="1" w:color="auto"/>
              </w:pBd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color w:val="0000FF"/>
                <w:sz w:val="36"/>
                <w:szCs w:val="20"/>
                <w:lang w:eastAsia="it-IT"/>
              </w:rPr>
            </w:pPr>
            <w:r w:rsidRPr="00C75878">
              <w:rPr>
                <w:rFonts w:ascii="Arial" w:eastAsia="Times New Roman" w:hAnsi="Arial" w:cs="Times New Roman"/>
                <w:i/>
                <w:color w:val="0000FF"/>
                <w:sz w:val="36"/>
                <w:szCs w:val="20"/>
                <w:lang w:eastAsia="it-IT"/>
              </w:rPr>
              <w:t>(Provincia di Benevento)</w:t>
            </w:r>
          </w:p>
          <w:p w14:paraId="1EFC67EE" w14:textId="77777777" w:rsidR="00C75878" w:rsidRPr="00C75878" w:rsidRDefault="00C75878" w:rsidP="00C7587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</w:pPr>
          </w:p>
          <w:p w14:paraId="542BCC02" w14:textId="77777777" w:rsidR="00C75878" w:rsidRPr="00C75878" w:rsidRDefault="00C75878" w:rsidP="00C7587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FF"/>
                <w:sz w:val="24"/>
                <w:szCs w:val="20"/>
                <w:lang w:eastAsia="it-IT"/>
              </w:rPr>
            </w:pPr>
            <w:r w:rsidRPr="00C75878"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  <w:t>(</w:t>
            </w:r>
            <w:proofErr w:type="gramStart"/>
            <w:r w:rsidRPr="00C75878"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  <w:t>82034)Via</w:t>
            </w:r>
            <w:proofErr w:type="gramEnd"/>
            <w:r w:rsidRPr="00C75878"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  <w:t xml:space="preserve"> Santa Maria n. 43/A.– Tel. 0824 813711 .fax. 0824 </w:t>
            </w:r>
            <w:proofErr w:type="gramStart"/>
            <w:r w:rsidRPr="00C75878"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  <w:t>813597  E-mail</w:t>
            </w:r>
            <w:proofErr w:type="gramEnd"/>
            <w:r w:rsidRPr="00C75878">
              <w:rPr>
                <w:rFonts w:ascii="Arial" w:eastAsia="Times New Roman" w:hAnsi="Arial" w:cs="Times New Roman"/>
                <w:i/>
                <w:color w:val="0000FF"/>
                <w:sz w:val="16"/>
                <w:szCs w:val="20"/>
                <w:lang w:eastAsia="it-IT"/>
              </w:rPr>
              <w:t>: uff.tecnicoslm@libero.it</w:t>
            </w:r>
          </w:p>
        </w:tc>
      </w:tr>
    </w:tbl>
    <w:p w14:paraId="03E576D5" w14:textId="77777777" w:rsidR="00C75878" w:rsidRPr="00C75878" w:rsidRDefault="00C75878" w:rsidP="00C758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0C809B" w14:textId="77777777" w:rsidR="00615A91" w:rsidRDefault="00615A91"/>
    <w:p w14:paraId="0CF5F25C" w14:textId="1601EE8C" w:rsidR="00C75878" w:rsidRPr="00666E62" w:rsidRDefault="00C75878">
      <w:pPr>
        <w:rPr>
          <w:rFonts w:ascii="Times New Roman" w:hAnsi="Times New Roman" w:cs="Times New Roman"/>
        </w:rPr>
      </w:pPr>
      <w:r w:rsidRPr="00666E62">
        <w:rPr>
          <w:rFonts w:ascii="Times New Roman" w:hAnsi="Times New Roman" w:cs="Times New Roman"/>
        </w:rPr>
        <w:t>Prot. N.</w:t>
      </w:r>
      <w:r w:rsidR="00486B93" w:rsidRPr="00666E62">
        <w:rPr>
          <w:rFonts w:ascii="Times New Roman" w:hAnsi="Times New Roman" w:cs="Times New Roman"/>
        </w:rPr>
        <w:t xml:space="preserve"> </w:t>
      </w:r>
      <w:r w:rsidR="00E42314">
        <w:rPr>
          <w:rFonts w:ascii="Times New Roman" w:hAnsi="Times New Roman" w:cs="Times New Roman"/>
        </w:rPr>
        <w:t xml:space="preserve"> </w:t>
      </w:r>
      <w:r w:rsidR="007241AA">
        <w:rPr>
          <w:rFonts w:ascii="Times New Roman" w:hAnsi="Times New Roman" w:cs="Times New Roman"/>
        </w:rPr>
        <w:t>4705 del 29.12.2020</w:t>
      </w:r>
    </w:p>
    <w:p w14:paraId="525F6E04" w14:textId="1A852227" w:rsidR="00C75878" w:rsidRDefault="00C75878" w:rsidP="006E0FBE">
      <w:pPr>
        <w:jc w:val="center"/>
        <w:rPr>
          <w:rFonts w:ascii="Times New Roman" w:hAnsi="Times New Roman" w:cs="Times New Roman"/>
          <w:sz w:val="36"/>
          <w:szCs w:val="36"/>
        </w:rPr>
      </w:pPr>
      <w:r w:rsidRPr="00C75878">
        <w:rPr>
          <w:rFonts w:ascii="Times New Roman" w:hAnsi="Times New Roman" w:cs="Times New Roman"/>
          <w:b/>
          <w:sz w:val="36"/>
          <w:szCs w:val="36"/>
        </w:rPr>
        <w:t>BANDO PER L’ASSEGNAZIONE DI LOCULI NEL CIMITERO COMUNALE DI SAN LORENZO MAGGIOR</w:t>
      </w:r>
      <w:r w:rsidR="006C64C5">
        <w:rPr>
          <w:rFonts w:ascii="Times New Roman" w:hAnsi="Times New Roman" w:cs="Times New Roman"/>
          <w:b/>
          <w:sz w:val="36"/>
          <w:szCs w:val="36"/>
        </w:rPr>
        <w:t>E</w:t>
      </w:r>
    </w:p>
    <w:p w14:paraId="320C6AF1" w14:textId="77777777" w:rsidR="00C75878" w:rsidRDefault="00C75878" w:rsidP="00C75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F7113" w14:textId="44AA9D46" w:rsidR="00C75878" w:rsidRDefault="00C75878" w:rsidP="00C7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5829F0">
        <w:rPr>
          <w:rFonts w:ascii="Times New Roman" w:hAnsi="Times New Roman" w:cs="Times New Roman"/>
          <w:sz w:val="28"/>
          <w:szCs w:val="28"/>
        </w:rPr>
        <w:t xml:space="preserve">RESPONSABILE </w:t>
      </w:r>
      <w:r w:rsidR="006F637D">
        <w:rPr>
          <w:rFonts w:ascii="Times New Roman" w:hAnsi="Times New Roman" w:cs="Times New Roman"/>
          <w:sz w:val="28"/>
          <w:szCs w:val="28"/>
        </w:rPr>
        <w:t>DELL’UFFICIO TECNICO</w:t>
      </w:r>
    </w:p>
    <w:p w14:paraId="4B51B15B" w14:textId="77777777" w:rsidR="00C75878" w:rsidRDefault="006C69DD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Richiamati:</w:t>
      </w:r>
    </w:p>
    <w:p w14:paraId="180DC687" w14:textId="77777777" w:rsidR="006C69DD" w:rsidRDefault="006C69DD" w:rsidP="00666E6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vigente regolamento Comunale Cimiteriale, approvato con delibera consiliare n. 13 del 14 luglio 2011;</w:t>
      </w:r>
    </w:p>
    <w:p w14:paraId="24F04362" w14:textId="08C4DAD7" w:rsidR="006C69DD" w:rsidRPr="004446C7" w:rsidRDefault="006C69DD" w:rsidP="00666E6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E02C5">
        <w:rPr>
          <w:rFonts w:ascii="Times New Roman" w:hAnsi="Times New Roman" w:cs="Times New Roman"/>
          <w:sz w:val="24"/>
          <w:szCs w:val="24"/>
        </w:rPr>
        <w:t xml:space="preserve">La delibera </w:t>
      </w:r>
      <w:r w:rsidR="004446C7">
        <w:rPr>
          <w:rFonts w:ascii="Times New Roman" w:hAnsi="Times New Roman" w:cs="Times New Roman"/>
          <w:sz w:val="24"/>
          <w:szCs w:val="24"/>
        </w:rPr>
        <w:t xml:space="preserve">di Giunta Comunale, </w:t>
      </w:r>
      <w:r w:rsidR="00CD4970" w:rsidRPr="00DE02C5">
        <w:rPr>
          <w:rFonts w:ascii="Times New Roman" w:hAnsi="Times New Roman" w:cs="Times New Roman"/>
          <w:sz w:val="24"/>
          <w:szCs w:val="24"/>
        </w:rPr>
        <w:t>n</w:t>
      </w:r>
      <w:r w:rsidR="004446C7">
        <w:rPr>
          <w:rFonts w:ascii="Times New Roman" w:hAnsi="Times New Roman" w:cs="Times New Roman"/>
          <w:sz w:val="24"/>
          <w:szCs w:val="24"/>
        </w:rPr>
        <w:t xml:space="preserve">.44 </w:t>
      </w:r>
      <w:r w:rsidRPr="00DE02C5">
        <w:rPr>
          <w:rFonts w:ascii="Times New Roman" w:hAnsi="Times New Roman" w:cs="Times New Roman"/>
          <w:sz w:val="24"/>
          <w:szCs w:val="24"/>
        </w:rPr>
        <w:t>del</w:t>
      </w:r>
      <w:r w:rsidR="004446C7">
        <w:rPr>
          <w:rFonts w:ascii="Times New Roman" w:hAnsi="Times New Roman" w:cs="Times New Roman"/>
          <w:sz w:val="24"/>
          <w:szCs w:val="24"/>
        </w:rPr>
        <w:t xml:space="preserve"> 27/08/2020</w:t>
      </w:r>
      <w:r w:rsidR="00CD4970" w:rsidRPr="00DE02C5">
        <w:rPr>
          <w:rFonts w:ascii="Times New Roman" w:hAnsi="Times New Roman" w:cs="Times New Roman"/>
          <w:sz w:val="24"/>
          <w:szCs w:val="24"/>
        </w:rPr>
        <w:t xml:space="preserve"> </w:t>
      </w:r>
      <w:r w:rsidRPr="00DE02C5">
        <w:rPr>
          <w:rFonts w:ascii="Times New Roman" w:hAnsi="Times New Roman" w:cs="Times New Roman"/>
          <w:sz w:val="24"/>
          <w:szCs w:val="24"/>
        </w:rPr>
        <w:t xml:space="preserve">con la quale è stato approvato </w:t>
      </w:r>
      <w:r w:rsidR="004446C7">
        <w:rPr>
          <w:rFonts w:ascii="Times New Roman" w:hAnsi="Times New Roman" w:cs="Times New Roman"/>
          <w:sz w:val="24"/>
          <w:szCs w:val="24"/>
        </w:rPr>
        <w:t xml:space="preserve">lo studio di fattibilità </w:t>
      </w:r>
      <w:r w:rsidRPr="00DE02C5">
        <w:rPr>
          <w:rFonts w:ascii="Times New Roman" w:hAnsi="Times New Roman" w:cs="Times New Roman"/>
          <w:sz w:val="24"/>
          <w:szCs w:val="24"/>
        </w:rPr>
        <w:t>per la realizzazione di</w:t>
      </w:r>
      <w:r w:rsidR="004446C7">
        <w:rPr>
          <w:rFonts w:ascii="Times New Roman" w:hAnsi="Times New Roman" w:cs="Times New Roman"/>
          <w:sz w:val="24"/>
          <w:szCs w:val="24"/>
        </w:rPr>
        <w:t xml:space="preserve"> n. 120</w:t>
      </w:r>
      <w:r w:rsidRPr="00DE02C5">
        <w:rPr>
          <w:rFonts w:ascii="Times New Roman" w:hAnsi="Times New Roman" w:cs="Times New Roman"/>
          <w:sz w:val="24"/>
          <w:szCs w:val="24"/>
        </w:rPr>
        <w:t xml:space="preserve"> loculi presso il Cimitero Comunale;</w:t>
      </w:r>
    </w:p>
    <w:p w14:paraId="030C2A53" w14:textId="0D5C1D8C" w:rsidR="004446C7" w:rsidRPr="004446C7" w:rsidRDefault="004446C7" w:rsidP="00666E6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C7">
        <w:rPr>
          <w:rFonts w:ascii="Times New Roman" w:hAnsi="Times New Roman" w:cs="Times New Roman"/>
          <w:sz w:val="24"/>
          <w:szCs w:val="24"/>
        </w:rPr>
        <w:t xml:space="preserve">La delibera di Consiglio Comunale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622C07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="00622C07">
        <w:rPr>
          <w:rFonts w:ascii="Times New Roman" w:hAnsi="Times New Roman" w:cs="Times New Roman"/>
          <w:sz w:val="24"/>
          <w:szCs w:val="24"/>
        </w:rPr>
        <w:t xml:space="preserve"> 30/10/2020</w:t>
      </w:r>
      <w:r>
        <w:rPr>
          <w:rFonts w:ascii="Times New Roman" w:hAnsi="Times New Roman" w:cs="Times New Roman"/>
          <w:sz w:val="24"/>
          <w:szCs w:val="24"/>
        </w:rPr>
        <w:t xml:space="preserve"> con la quale sono state stabilite le tariffe per la vendita dei loculi;</w:t>
      </w:r>
    </w:p>
    <w:p w14:paraId="3055C3F8" w14:textId="187148EF" w:rsidR="006C69DD" w:rsidRDefault="006C69DD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9DD">
        <w:rPr>
          <w:rFonts w:ascii="Times New Roman" w:hAnsi="Times New Roman" w:cs="Times New Roman"/>
          <w:sz w:val="24"/>
          <w:szCs w:val="24"/>
        </w:rPr>
        <w:t xml:space="preserve">Vista la </w:t>
      </w:r>
      <w:r w:rsidR="00D23C7F">
        <w:rPr>
          <w:rFonts w:ascii="Times New Roman" w:hAnsi="Times New Roman" w:cs="Times New Roman"/>
          <w:sz w:val="24"/>
          <w:szCs w:val="24"/>
        </w:rPr>
        <w:t>D</w:t>
      </w:r>
      <w:r w:rsidRPr="006C69DD">
        <w:rPr>
          <w:rFonts w:ascii="Times New Roman" w:hAnsi="Times New Roman" w:cs="Times New Roman"/>
          <w:sz w:val="24"/>
          <w:szCs w:val="24"/>
        </w:rPr>
        <w:t>etermina n</w:t>
      </w:r>
      <w:r w:rsidR="00622C07">
        <w:rPr>
          <w:rFonts w:ascii="Times New Roman" w:hAnsi="Times New Roman" w:cs="Times New Roman"/>
          <w:sz w:val="24"/>
          <w:szCs w:val="24"/>
        </w:rPr>
        <w:t>.</w:t>
      </w:r>
      <w:r w:rsidR="00826A81">
        <w:rPr>
          <w:rFonts w:ascii="Times New Roman" w:hAnsi="Times New Roman" w:cs="Times New Roman"/>
          <w:sz w:val="24"/>
          <w:szCs w:val="24"/>
        </w:rPr>
        <w:t>97 del 29.12.2020</w:t>
      </w:r>
      <w:r w:rsidR="00622C07">
        <w:rPr>
          <w:rFonts w:ascii="Times New Roman" w:hAnsi="Times New Roman" w:cs="Times New Roman"/>
          <w:sz w:val="24"/>
          <w:szCs w:val="24"/>
        </w:rPr>
        <w:t xml:space="preserve"> </w:t>
      </w:r>
      <w:r w:rsidRPr="006C69DD">
        <w:rPr>
          <w:rFonts w:ascii="Times New Roman" w:hAnsi="Times New Roman" w:cs="Times New Roman"/>
          <w:sz w:val="24"/>
          <w:szCs w:val="24"/>
        </w:rPr>
        <w:t>con la quale</w:t>
      </w:r>
      <w:r>
        <w:rPr>
          <w:rFonts w:ascii="Times New Roman" w:hAnsi="Times New Roman" w:cs="Times New Roman"/>
          <w:sz w:val="24"/>
          <w:szCs w:val="24"/>
        </w:rPr>
        <w:t xml:space="preserve"> è stato approvato il presente schema di bando e gli atti allegati;</w:t>
      </w:r>
    </w:p>
    <w:p w14:paraId="430ED8C2" w14:textId="1D6E6F02" w:rsidR="00E92F72" w:rsidRPr="00666E62" w:rsidRDefault="006C69DD" w:rsidP="00666E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RENDE NOTO</w:t>
      </w:r>
    </w:p>
    <w:p w14:paraId="425C92CA" w14:textId="77777777" w:rsidR="0070089C" w:rsidRDefault="00E92F72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Comune di San Lorenzo Maggiore intende assegnare in concessione d’uso le seguenti sepolture individuali:</w:t>
      </w:r>
    </w:p>
    <w:p w14:paraId="1E798897" w14:textId="4D07C28E" w:rsidR="00E92F72" w:rsidRDefault="00E92F72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CD4970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9C">
        <w:rPr>
          <w:rFonts w:ascii="Times New Roman" w:hAnsi="Times New Roman" w:cs="Times New Roman"/>
          <w:sz w:val="24"/>
          <w:szCs w:val="24"/>
        </w:rPr>
        <w:t>loculi</w:t>
      </w:r>
      <w:r>
        <w:rPr>
          <w:rFonts w:ascii="Times New Roman" w:hAnsi="Times New Roman" w:cs="Times New Roman"/>
          <w:sz w:val="24"/>
          <w:szCs w:val="24"/>
        </w:rPr>
        <w:t xml:space="preserve"> (concessione per anni 99) presso il cimitero comunale alle seguenti condizioni e modalità:</w:t>
      </w:r>
    </w:p>
    <w:p w14:paraId="6F7BA63B" w14:textId="77777777" w:rsidR="00666E62" w:rsidRDefault="00666E62" w:rsidP="00E92F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9C6F9" w14:textId="71A8B02D" w:rsidR="00E92F72" w:rsidRDefault="00E92F72" w:rsidP="00E92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72">
        <w:rPr>
          <w:rFonts w:ascii="Times New Roman" w:hAnsi="Times New Roman" w:cs="Times New Roman"/>
          <w:b/>
          <w:sz w:val="24"/>
          <w:szCs w:val="24"/>
        </w:rPr>
        <w:t>Art. 1 CARATTERISTICHE DELLA CONCESSIONE</w:t>
      </w:r>
    </w:p>
    <w:p w14:paraId="55D3082F" w14:textId="3CABE91C" w:rsidR="00E92F72" w:rsidRDefault="00E92F72" w:rsidP="00E9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concessione amministrativa ha per oggetto beni patrimoniali del Comune sottoposti, in quanto tali, al regime dei beni demaniali (ex art. 824 C.C.)</w:t>
      </w:r>
      <w:r w:rsidR="00E70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ssa, pertanto, assegna temporaneamente il diritto d’uso del bene restando in capo al Comune la proprietà dello stesso. La concessione farà riferimento al capo XVIII del D.P.R. 285/90 agli artt. 90 e seguenti che, per estratto, andranno a far parte del contratto, in particolare per quanto riguarda il diritto d’uso.</w:t>
      </w:r>
    </w:p>
    <w:p w14:paraId="1BEDE917" w14:textId="77777777" w:rsidR="00E92F72" w:rsidRDefault="00E92F72" w:rsidP="00E9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concessioni sono strettamente legate alla persona del concessionario e non potranno essere oggetto di trasferimento per atti fra vivi.</w:t>
      </w:r>
    </w:p>
    <w:p w14:paraId="1113CE0E" w14:textId="463EE809" w:rsidR="00E92F72" w:rsidRDefault="00E92F72" w:rsidP="00E9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successione della titolarità potrà avere luogo solo </w:t>
      </w:r>
      <w:r w:rsidR="00CD3E5B">
        <w:rPr>
          <w:rFonts w:ascii="Times New Roman" w:hAnsi="Times New Roman" w:cs="Times New Roman"/>
          <w:sz w:val="24"/>
          <w:szCs w:val="24"/>
        </w:rPr>
        <w:t>ed esclusivamente agli</w:t>
      </w:r>
      <w:r>
        <w:rPr>
          <w:rFonts w:ascii="Times New Roman" w:hAnsi="Times New Roman" w:cs="Times New Roman"/>
          <w:sz w:val="24"/>
          <w:szCs w:val="24"/>
        </w:rPr>
        <w:t xml:space="preserve"> “eredi” del concessionario. La “successione” della titolarità dovrà essere comunicata al Comune </w:t>
      </w:r>
      <w:r w:rsidR="00CD3E5B">
        <w:rPr>
          <w:rFonts w:ascii="Times New Roman" w:hAnsi="Times New Roman" w:cs="Times New Roman"/>
          <w:sz w:val="24"/>
          <w:szCs w:val="24"/>
        </w:rPr>
        <w:t>con relativo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5B">
        <w:rPr>
          <w:rFonts w:ascii="Times New Roman" w:hAnsi="Times New Roman" w:cs="Times New Roman"/>
          <w:sz w:val="24"/>
          <w:szCs w:val="24"/>
        </w:rPr>
        <w:t>documento di trasferimento e numero di protocollo.</w:t>
      </w:r>
    </w:p>
    <w:p w14:paraId="3FD4B97D" w14:textId="77777777" w:rsidR="00E92F72" w:rsidRDefault="00E92F72" w:rsidP="00E92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validità nei confronti della Civica Amministrazione alcun patto o atto testamentario che preveda la cessione a terzi dei diritti d’uso della concessione.</w:t>
      </w:r>
    </w:p>
    <w:p w14:paraId="5EDCD869" w14:textId="4BC02808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r w:rsidRPr="009203C6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completati</w:t>
      </w:r>
      <w:r w:rsidR="00CD3E5B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ogni finitura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omp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, portafiori</w:t>
      </w:r>
      <w:r w:rsidR="00484B0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portalampada e anelli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chiusura</w:t>
      </w:r>
      <w:r w:rsidR="00484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mentre 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r w:rsidRPr="009203C6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qu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f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ogni accessorio non previsto dal capitolato di costruzione.</w:t>
      </w:r>
    </w:p>
    <w:p w14:paraId="5967127A" w14:textId="30F22A7E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ff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6F637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preposto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ipu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’a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ui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e b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nu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udo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delle opere oggetto dell’appalto e solo</w:t>
      </w:r>
      <w:r w:rsidR="00FE5262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dopo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nu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 d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CD3E5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onere di concessione</w:t>
      </w:r>
      <w:r w:rsidR="00CD3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23CC675" w14:textId="67D26632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rtec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b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hi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rtec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a</w:t>
      </w:r>
      <w:r w:rsidRPr="009203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>h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nc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e </w:t>
      </w:r>
      <w:r w:rsidRPr="009203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="008C6A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à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nir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l’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nu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 e</w:t>
      </w:r>
      <w:r w:rsidRPr="009203C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h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CD3E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essi</w:t>
      </w:r>
      <w:r w:rsidRPr="009203C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on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p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o, 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ert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o,  va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 o 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rete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</w:t>
      </w:r>
      <w:r w:rsidRPr="009203C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 </w:t>
      </w:r>
      <w:r w:rsidRPr="009203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(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bili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ui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o) </w:t>
      </w:r>
      <w:r w:rsidRPr="009203C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qu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qu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asi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ssa 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ov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sse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e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="00CD3E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realizzata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096652C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4B42DB0" w14:textId="16975091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Art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2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="00484B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CON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ESS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</w:p>
    <w:p w14:paraId="7F499792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4548A5B0" w14:textId="7AAB8448" w:rsidR="009203C6" w:rsidRPr="00FE5262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ss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645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66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proofErr w:type="gramEnd"/>
      <w:r w:rsidR="002645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67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nd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FE5262">
        <w:rPr>
          <w:rFonts w:ascii="Times New Roman" w:eastAsia="Times New Roman" w:hAnsi="Times New Roman" w:cs="Times New Roman"/>
          <w:spacing w:val="-67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</w:t>
      </w:r>
      <w:r w:rsidRPr="00FE5262">
        <w:rPr>
          <w:rFonts w:ascii="Times New Roman" w:eastAsia="Times New Roman" w:hAnsi="Times New Roman" w:cs="Times New Roman"/>
          <w:spacing w:val="-70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FE5262">
        <w:rPr>
          <w:rFonts w:ascii="Times New Roman" w:eastAsia="Times New Roman" w:hAnsi="Times New Roman" w:cs="Times New Roman"/>
          <w:spacing w:val="-67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FE5262">
        <w:rPr>
          <w:rFonts w:ascii="Times New Roman" w:eastAsia="Times New Roman" w:hAnsi="Times New Roman" w:cs="Times New Roman"/>
          <w:spacing w:val="-70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d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ei </w:t>
      </w:r>
      <w:r w:rsidRPr="00FE5262">
        <w:rPr>
          <w:rFonts w:ascii="Times New Roman" w:eastAsia="Times New Roman" w:hAnsi="Times New Roman" w:cs="Times New Roman"/>
          <w:spacing w:val="-69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lo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E5262"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69"/>
          <w:sz w:val="24"/>
          <w:szCs w:val="24"/>
          <w:lang w:eastAsia="it-IT"/>
        </w:rPr>
        <w:t xml:space="preserve">     </w:t>
      </w:r>
      <w:r w:rsidR="0096108B" w:rsidRPr="00FE5262">
        <w:rPr>
          <w:rFonts w:ascii="Times New Roman" w:eastAsia="Times New Roman" w:hAnsi="Times New Roman" w:cs="Times New Roman"/>
          <w:spacing w:val="-69"/>
          <w:sz w:val="24"/>
          <w:szCs w:val="24"/>
          <w:lang w:eastAsia="it-IT"/>
        </w:rPr>
        <w:t xml:space="preserve">     </w:t>
      </w:r>
      <w:r w:rsidR="00FE5262" w:rsidRPr="00FE5262">
        <w:rPr>
          <w:rFonts w:ascii="Times New Roman" w:eastAsia="Times New Roman" w:hAnsi="Times New Roman" w:cs="Times New Roman"/>
          <w:spacing w:val="-69"/>
          <w:sz w:val="24"/>
          <w:szCs w:val="24"/>
          <w:lang w:eastAsia="it-IT"/>
        </w:rPr>
        <w:t xml:space="preserve">           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d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75970"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66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u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6108B"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-66"/>
          <w:sz w:val="24"/>
          <w:szCs w:val="24"/>
          <w:lang w:eastAsia="it-IT"/>
        </w:rPr>
        <w:t xml:space="preserve">     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FE5262">
        <w:rPr>
          <w:rFonts w:ascii="Times New Roman" w:eastAsia="Times New Roman" w:hAnsi="Times New Roman" w:cs="Times New Roman"/>
          <w:spacing w:val="-66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FE5262">
        <w:rPr>
          <w:rFonts w:ascii="Times New Roman" w:eastAsia="Times New Roman" w:hAnsi="Times New Roman" w:cs="Times New Roman"/>
          <w:spacing w:val="-67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</w:t>
      </w:r>
      <w:r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d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-28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-28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-28"/>
          <w:sz w:val="24"/>
          <w:szCs w:val="24"/>
          <w:lang w:eastAsia="it-IT"/>
        </w:rPr>
        <w:t xml:space="preserve"> </w:t>
      </w:r>
      <w:r w:rsidR="008C6A49" w:rsidRPr="00FE526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interessati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5262">
        <w:rPr>
          <w:rFonts w:ascii="Times New Roman" w:eastAsia="Times New Roman" w:hAnsi="Times New Roman" w:cs="Times New Roman"/>
          <w:spacing w:val="-30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d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ent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E5262">
        <w:rPr>
          <w:rFonts w:ascii="Times New Roman" w:eastAsia="Times New Roman" w:hAnsi="Times New Roman" w:cs="Times New Roman"/>
          <w:spacing w:val="-28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FE5262">
        <w:rPr>
          <w:rFonts w:ascii="Times New Roman" w:eastAsia="Times New Roman" w:hAnsi="Times New Roman" w:cs="Times New Roman"/>
          <w:spacing w:val="-29"/>
          <w:sz w:val="24"/>
          <w:szCs w:val="24"/>
          <w:lang w:eastAsia="it-IT"/>
        </w:rPr>
        <w:t xml:space="preserve"> 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o</w:t>
      </w:r>
      <w:r w:rsidRPr="00FE5262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F092F47" w14:textId="77777777" w:rsidR="009203C6" w:rsidRPr="00FE5262" w:rsidRDefault="009203C6" w:rsidP="00666E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675E34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E95DF90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Art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3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À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ESE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MAND</w:t>
      </w:r>
      <w:r w:rsidRPr="009203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</w:p>
    <w:p w14:paraId="26AE55BB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25D554F7" w14:textId="69E83C73" w:rsidR="008C6A49" w:rsidRPr="000A6CD2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a do</w:t>
      </w:r>
      <w:r w:rsidRPr="009203C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i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iz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zat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6F637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Responsabile dell’Ufficio Tecnico</w:t>
      </w:r>
      <w:r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m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un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San Lorenzo Maggiore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Via S. Maria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.43/A</w:t>
      </w:r>
      <w:r w:rsidR="008C6A49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82034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San Lorenzo Maggiore (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BN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ov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à 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s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er</w:t>
      </w:r>
      <w:r w:rsidR="008C6A49"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="008C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odo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tt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c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a s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mp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ce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ondo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8C6A49"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fa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-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8C6A49"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nte b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8C6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(</w:t>
      </w:r>
      <w:r w:rsidR="00CD3E5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e </w:t>
      </w:r>
      <w:r w:rsidR="005067B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comunque 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sponib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="008C6A4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8C6A49" w:rsidRPr="009203C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="008C6A49" w:rsidRPr="009203C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ff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8C6A49" w:rsidRPr="009203C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8C6A4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Tecnico </w:t>
      </w:r>
      <w:r w:rsidR="008C6A49" w:rsidRPr="009203C6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Comune di San Lorenzo Maggiore</w:t>
      </w:r>
      <w:r w:rsidR="008C6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8C6A49" w:rsidRPr="00014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presentata</w:t>
      </w:r>
      <w:r w:rsidR="008C6A49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8C6A49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8C6A49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="008C6A49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tr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="008C6A49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trentesimo giorno dalla pubblicazione del bando, a mezzo </w:t>
      </w:r>
      <w:r w:rsidR="00014AC5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PEC </w:t>
      </w:r>
      <w:r w:rsidR="00014AC5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seguente indirizzo:</w:t>
      </w:r>
      <w:r w:rsidR="00FE52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7" w:history="1">
        <w:r w:rsidR="00FE5262" w:rsidRPr="00444C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prot.slm@asmepec.it</w:t>
        </w:r>
      </w:hyperlink>
      <w:r w:rsidR="00014AC5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oppure con 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rac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comandata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A.R. o </w:t>
      </w:r>
      <w:r w:rsidR="00014AC5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consegnata </w:t>
      </w:r>
      <w:r w:rsidR="008C6A49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mano presso l’ufficio protocollo dell’ente</w:t>
      </w:r>
      <w:r w:rsidR="000A6C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nei seguenti giorni </w:t>
      </w:r>
      <w:r w:rsidR="000A6CD2" w:rsidRPr="000A6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Martedì e Giovedì dalle ore 16.00 alle ore 19.00</w:t>
      </w:r>
      <w:r w:rsidR="000A6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</w:p>
    <w:p w14:paraId="7E3CE829" w14:textId="0FFCE8F5" w:rsidR="007E7F75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nno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9203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nde</w:t>
      </w:r>
      <w:r w:rsidRPr="009203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erve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nno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dopo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8C6A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del termine suindicato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506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stati già prenotati.</w:t>
      </w:r>
      <w:r w:rsidRPr="009203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</w:p>
    <w:p w14:paraId="1541B25B" w14:textId="00AEC9E1" w:rsidR="009203C6" w:rsidRPr="009203C6" w:rsidRDefault="007E7F75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dom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9203C6" w:rsidRPr="00014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9203C6" w:rsidRPr="00014A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5067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,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aventi i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9203C6" w:rsidRPr="00014A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pre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9203C6" w:rsidRPr="0001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="009203C6" w:rsidRP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ndo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formeranno la graduatoria se</w:t>
      </w:r>
      <w:r w:rsidR="00E704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condo i criteri </w:t>
      </w:r>
      <w:r w:rsidR="00514D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stabiliti dal successivo art. 4</w:t>
      </w:r>
      <w:r w:rsidR="005067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4640C87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2BF74BF3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492966B8" w14:textId="02A25761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lu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="007E7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andranno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="007E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rtec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ip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="007E7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i seguenti documenti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14:paraId="54567895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145CE0DF" w14:textId="5466F6F6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="008124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copia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me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à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so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va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lidi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à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hi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/di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hi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;</w:t>
      </w:r>
    </w:p>
    <w:p w14:paraId="4A2B7E56" w14:textId="6122417E" w:rsid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tte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v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me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 1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1"/>
          <w:position w:val="11"/>
          <w:sz w:val="16"/>
          <w:szCs w:val="16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="00014A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come precisato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al</w:t>
      </w:r>
      <w:r w:rsidR="0001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l’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5</w:t>
      </w:r>
      <w:r w:rsidR="004D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;</w:t>
      </w:r>
    </w:p>
    <w:p w14:paraId="7A377827" w14:textId="28D1F702" w:rsidR="004D7FEA" w:rsidRPr="009203C6" w:rsidRDefault="004D7FEA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4D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autocertificazione attestante l</w:t>
      </w:r>
      <w:r w:rsidR="00514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 composizione del proprio nucleo familiare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</w:p>
    <w:p w14:paraId="019A9358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18783F74" w14:textId="77777777" w:rsidR="00484B04" w:rsidRDefault="00484B04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</w:pPr>
    </w:p>
    <w:p w14:paraId="2213523D" w14:textId="1F12349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Art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4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TE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F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RM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Z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ELL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SSE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</w:p>
    <w:p w14:paraId="5A46BBA3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9B782E3" w14:textId="656505F1" w:rsidR="00014AC5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F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ndo qu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2, la 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à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ffe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9203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7E7F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ella relativa</w:t>
      </w:r>
      <w:r w:rsidRPr="009203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431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stilata d</w:t>
      </w:r>
      <w:r w:rsidR="0024312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>a apposita commissione interna, che sarà nominata dopo lo spirare del termine fissato per la presentazione delle domande</w:t>
      </w:r>
      <w:r w:rsid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09687B4" w14:textId="77777777" w:rsidR="00312ABE" w:rsidRDefault="00312ABE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6993A83" w14:textId="6FA1E336" w:rsidR="009203C6" w:rsidRDefault="00014AC5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La graduatoria verrà redatta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nel rispetto dei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9203C6"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criteri</w:t>
      </w:r>
      <w:r w:rsidR="002431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A0430" w:rsidRPr="0001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in ordine di priorità</w:t>
      </w:r>
      <w:r w:rsidR="002431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077E3A66" w14:textId="10930432" w:rsidR="00486B93" w:rsidRDefault="00486B93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E16E871" w14:textId="578188D1" w:rsidR="00274FE9" w:rsidRDefault="00274FE9" w:rsidP="00666E6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Nuclei familiari </w:t>
      </w:r>
      <w:r w:rsidR="007E7F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proprietari o assegnatari di altri loculi,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presen</w:t>
      </w:r>
      <w:r w:rsidR="007E7F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  <w:r w:rsidR="00EA04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persona con più di 6</w:t>
      </w:r>
      <w:r w:rsidR="00191C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anni;   </w:t>
      </w:r>
    </w:p>
    <w:p w14:paraId="6A89CB91" w14:textId="5901B9C1" w:rsidR="00243129" w:rsidRDefault="00243129" w:rsidP="00666E6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Nuclei familiari non proprietari o assegnatari </w:t>
      </w:r>
      <w:r w:rsidR="00274FE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altri loculi</w:t>
      </w:r>
      <w:r w:rsid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3149AEC" w14:textId="2743092B" w:rsidR="00486B93" w:rsidRDefault="00274FE9" w:rsidP="00666E6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486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rdine cronologico delle domande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86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presentate;</w:t>
      </w:r>
    </w:p>
    <w:p w14:paraId="6CF148AF" w14:textId="77777777" w:rsidR="009203C6" w:rsidRDefault="009203C6" w:rsidP="00666E62">
      <w:pPr>
        <w:widowControl w:val="0"/>
        <w:autoSpaceDE w:val="0"/>
        <w:autoSpaceDN w:val="0"/>
        <w:adjustRightInd w:val="0"/>
        <w:spacing w:after="0" w:line="23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E081E4" w14:textId="637995AC" w:rsidR="00014AC5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 </w:t>
      </w:r>
      <w:r w:rsid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base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requisiti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9203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on-line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 qu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59F7196" w14:textId="77777777" w:rsidR="00014AC5" w:rsidRDefault="00014AC5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Ove dovessero pervenire </w:t>
      </w:r>
      <w:r w:rsidR="009203C6"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p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="009203C6"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di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itt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sse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onun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cer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</w:t>
      </w:r>
      <w:r w:rsidR="009203C6"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omm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9203C6"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he ha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la </w:t>
      </w:r>
      <w:r w:rsidR="009203C6"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9203C6"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9203C6" w:rsidRPr="009203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</w:p>
    <w:p w14:paraId="7F7E40A8" w14:textId="422A2E63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R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spon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ovv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m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9835A34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2F284965" w14:textId="35C40714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34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="00014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suddetti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vono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01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86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 bando.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7946CA0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ACA4129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C329AAE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Art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5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 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M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D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P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AM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</w:p>
    <w:p w14:paraId="3C650EC8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162610E3" w14:textId="4084824E" w:rsidR="00B4685E" w:rsidRDefault="00B4685E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="00B150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L’importo delle tariffe dovute per le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concessioni cimiteriali dei loculi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9203C6" w:rsidRPr="009203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3705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>stato determinato con</w:t>
      </w:r>
      <w:r w:rsidR="009203C6" w:rsidRPr="009203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9203C6"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ib</w:t>
      </w:r>
      <w:r w:rsidR="009203C6"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9203C6" w:rsidRPr="009203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9203C6" w:rsidRPr="009203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="00B852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>C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.C.</w:t>
      </w:r>
      <w:r w:rsidR="009203C6" w:rsidRPr="009203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486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24 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="00486B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30/10/2020</w:t>
      </w:r>
      <w:r w:rsidR="009203C6"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3705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varia in base alla collocazione in senso verticale del</w:t>
      </w:r>
      <w:r w:rsidR="00B150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singolo loculo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all’interno del blocco di appartenenza come di seguito riportato:</w:t>
      </w:r>
    </w:p>
    <w:p w14:paraId="0BF4D504" w14:textId="61188229" w:rsidR="009203C6" w:rsidRDefault="00B4685E" w:rsidP="00666E6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4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Prima fila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partendo dal basso </w:t>
      </w:r>
      <w:r w:rsidR="00B8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9203C6" w:rsidRPr="00B4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€.</w:t>
      </w:r>
      <w:r w:rsidR="009203C6" w:rsidRPr="00B4685E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it-IT"/>
        </w:rPr>
        <w:t xml:space="preserve"> </w:t>
      </w:r>
      <w:r w:rsidR="000726E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it-IT"/>
        </w:rPr>
        <w:t xml:space="preserve"> </w:t>
      </w:r>
      <w:r w:rsidR="004D7FE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it-IT"/>
        </w:rPr>
        <w:t xml:space="preserve"> </w:t>
      </w:r>
      <w:r w:rsidR="00875970" w:rsidRPr="00B4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</w:t>
      </w:r>
      <w:r w:rsidR="009203C6" w:rsidRPr="00B4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00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,00    n. loculi disponibili 30</w:t>
      </w:r>
    </w:p>
    <w:p w14:paraId="541DBF64" w14:textId="0CD1A0F5" w:rsidR="000726EC" w:rsidRDefault="000726EC" w:rsidP="00666E6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Seconda fila partendo dal basso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€.  </w:t>
      </w:r>
      <w:r w:rsidR="004D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2.300,00    n. loculi disponibili 30 </w:t>
      </w:r>
    </w:p>
    <w:p w14:paraId="11CDB73B" w14:textId="625FB5E3" w:rsidR="00B4685E" w:rsidRDefault="00B4685E" w:rsidP="00666E6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Terza fila partendo dal basso </w:t>
      </w:r>
      <w:r w:rsidR="0037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r w:rsidR="00E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3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€.</w:t>
      </w:r>
      <w:r w:rsidR="00B8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4D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3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2.100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,00    n. loculi disponibili 30  </w:t>
      </w:r>
    </w:p>
    <w:p w14:paraId="34973B1A" w14:textId="505F0FD3" w:rsidR="00F32FC6" w:rsidRPr="00B4685E" w:rsidRDefault="00F32FC6" w:rsidP="00666E6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Quarta fila partendo dal basso </w:t>
      </w:r>
      <w:r w:rsidR="00370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€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proofErr w:type="gramEnd"/>
      <w:r w:rsidR="00B8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2.000</w:t>
      </w:r>
      <w:r w:rsidR="0007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,00   n. loculi disponibili 30</w:t>
      </w:r>
    </w:p>
    <w:p w14:paraId="7B025003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22C4895D" w14:textId="46364EEA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21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E’</w:t>
      </w:r>
      <w:r w:rsidR="00421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421E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p</w:t>
      </w:r>
      <w:r w:rsidRPr="00421E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aga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me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n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2 </w:t>
      </w:r>
      <w:proofErr w:type="gramStart"/>
      <w:r w:rsidR="006F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(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due</w:t>
      </w:r>
      <w:proofErr w:type="gramEnd"/>
      <w:r w:rsidR="00622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F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) 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14:paraId="68D67B71" w14:textId="77777777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08CC47D" w14:textId="7B67EACB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FE52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813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0%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514D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che dovrà essere allegata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E09C0DD" w14:textId="061EBD16" w:rsidR="009203C6" w:rsidRPr="009203C6" w:rsidRDefault="009203C6" w:rsidP="00666E6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 2</w:t>
      </w:r>
      <w:r w:rsidRPr="009203C6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eastAsia="it-IT"/>
        </w:rPr>
        <w:t xml:space="preserve">a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20%</w:t>
      </w:r>
      <w:r w:rsidRPr="009203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203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15</w:t>
      </w:r>
      <w:r w:rsidRPr="009203C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rn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omun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9203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Pr="009203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622C0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203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Comune dell’avvenuta assegnazione;</w:t>
      </w:r>
    </w:p>
    <w:p w14:paraId="36CD7000" w14:textId="29877908" w:rsidR="00486B93" w:rsidRPr="00312ABE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203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9203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’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920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non</w:t>
      </w:r>
      <w:r w:rsidR="008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sostituisce il 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9203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9203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9203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9203C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  <w:r w:rsidRPr="009203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rr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312A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312ABE"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costituisce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ond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izi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lizz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312AB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312A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ipu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</w:p>
    <w:p w14:paraId="5A22F88B" w14:textId="4D3AF6E1" w:rsidR="004A58DF" w:rsidRDefault="00312ABE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 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312A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nun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ll’as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312A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312A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312A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e del loculo</w:t>
      </w:r>
      <w:r w:rsidRPr="00312A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si procederà a nuova assegnazione in favore dell’avente diritto utilmente collocato in graduatoria.</w:t>
      </w:r>
    </w:p>
    <w:p w14:paraId="20A47F19" w14:textId="6A1E00CF" w:rsid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66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Le somme di cui sopra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dovranno essere versate 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modalità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cui appresso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61ACA90A" w14:textId="39E49930" w:rsidR="009203C6" w:rsidRDefault="009203C6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 versamento su C/C postale n. 11584828 intestato a: Comune di San Lorenzo Maggiore Tesoreria Comunale, indicando la seguente causale “Rata di acconto</w:t>
      </w:r>
      <w:r w:rsidR="00E727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21E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e/</w:t>
      </w:r>
      <w:r w:rsidR="00E727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Rata di saldo,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concessione di n. 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21E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ocul</w:t>
      </w:r>
      <w:r w:rsidR="006F63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Cimitero Comunale”;</w:t>
      </w:r>
    </w:p>
    <w:p w14:paraId="37DDBEFF" w14:textId="77777777" w:rsidR="00D52B28" w:rsidRDefault="00D52B28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0F518B9" w14:textId="7447FCD9" w:rsidR="00D52B28" w:rsidRDefault="00D52B28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oppure mediante bonifico bancario sul C/C n. 89010 Banco Popolare – Tesoreria Comunale IBAN IT39M0503475360000000089010 indicando la seguente causale:</w:t>
      </w:r>
      <w:r w:rsidRPr="00D52B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“Rata di acconto</w:t>
      </w:r>
      <w:r w:rsidR="00421E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e/o Rata di saldo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concessione di n</w:t>
      </w:r>
      <w:r w:rsidR="00E727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421E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727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loculo</w:t>
      </w:r>
      <w:r w:rsidR="006F63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Cimitero Comunale”;</w:t>
      </w:r>
    </w:p>
    <w:p w14:paraId="6B21AD61" w14:textId="77777777" w:rsidR="00A4188A" w:rsidRDefault="00A4188A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6056212" w14:textId="7CC11453" w:rsidR="00A4188A" w:rsidRDefault="00A4188A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A41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Il mancato versamento</w:t>
      </w:r>
      <w:r w:rsidR="006F63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a saldo</w:t>
      </w:r>
      <w:r w:rsidRPr="00A41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entro i termini sarà considerato rinuncia </w:t>
      </w:r>
      <w:r w:rsidR="00853B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a</w:t>
      </w:r>
      <w:r w:rsidRPr="00A418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ll’assegnazione e si procederà a nuova assegnazione mediante scorrimento della graduatoria.</w:t>
      </w:r>
    </w:p>
    <w:p w14:paraId="178FFB86" w14:textId="77777777" w:rsidR="00A4188A" w:rsidRDefault="00A4188A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4E3657E0" w14:textId="052183A6" w:rsidR="00853B63" w:rsidRDefault="00853B63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altresì,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considerata rinuncia la mancata presentazione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dell’assegnatario il giorno prefissato per la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stipula del contratto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senza giustificato motivo.</w:t>
      </w:r>
    </w:p>
    <w:p w14:paraId="09B0F2E3" w14:textId="652DCED3" w:rsidR="00A4188A" w:rsidRDefault="00853B63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 tal caso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l’ente procederà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restituzione delle somme versate con 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successivo</w:t>
      </w:r>
      <w:r w:rsidR="00A418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scorrimento della graduatoria.</w:t>
      </w:r>
    </w:p>
    <w:p w14:paraId="6462B293" w14:textId="77777777" w:rsidR="00875970" w:rsidRDefault="00875970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6F3A51" w14:textId="4CE3720F" w:rsidR="00A4188A" w:rsidRDefault="00A4188A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5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Art. 6 CONDIZIONI </w:t>
      </w:r>
      <w:r w:rsidR="00B8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 w:rsidRPr="00D5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CCESSORIE</w:t>
      </w:r>
      <w:r w:rsidR="00B8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521D3F5E" w14:textId="77777777" w:rsidR="00D52B28" w:rsidRDefault="00D52B28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E4181F" w14:textId="08BBFE88" w:rsidR="00484B04" w:rsidRPr="00484B04" w:rsidRDefault="00484B04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  <w:r w:rsidRPr="00484B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fa presente che nel caso </w:t>
      </w:r>
      <w:r w:rsidRPr="00484B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di richieste di più loculi da parte di componenti dello stesso nucleo familiare rientranti nella graduatoria definitiva, </w:t>
      </w:r>
      <w:r w:rsidR="00324B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 loculi</w:t>
      </w:r>
      <w:r w:rsidRPr="00484B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saranno assegnati dal basso verso l’alto</w:t>
      </w:r>
      <w:r w:rsidR="00324B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 viceversa</w:t>
      </w:r>
      <w:r w:rsidR="006F63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.</w:t>
      </w:r>
    </w:p>
    <w:p w14:paraId="391B1FE6" w14:textId="67666DCC" w:rsidR="00484B04" w:rsidRDefault="00484B04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84B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Inoltre è data facoltà ai legittimi assegnatari di scambiarsi la posizione dei loculi prima della stipula del contratto previa comunicazione congiunta all’Amministrazione Comunale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F8F0B64" w14:textId="1280E0FD" w:rsidR="000726EC" w:rsidRDefault="000726EC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 le richieste di assegnazione dovessero essere inferiori a 120 unità,</w:t>
      </w:r>
      <w:r w:rsidR="00D503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l’Amministrazione Comunale si riserva la facoltà di procedere alla costruzione per blocchi in funzione del numero delle richieste pervenute.   </w:t>
      </w:r>
    </w:p>
    <w:p w14:paraId="67900A32" w14:textId="77777777" w:rsidR="00484B04" w:rsidRDefault="00484B04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3F2AF2" w14:textId="743A529F" w:rsidR="00D52B28" w:rsidRPr="004A58DF" w:rsidRDefault="00116BA4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4A58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La 1° rata di acconto deve essere versata contemporaneamente alla</w:t>
      </w:r>
      <w:r w:rsidR="00486B93" w:rsidRPr="004A58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presentazione della</w:t>
      </w:r>
      <w:r w:rsidRPr="004A58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domanda di partecipazione</w:t>
      </w:r>
      <w:r w:rsidR="00486B93" w:rsidRPr="004A58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.</w:t>
      </w:r>
    </w:p>
    <w:p w14:paraId="1CBD8522" w14:textId="77777777" w:rsidR="00324BE5" w:rsidRDefault="00324BE5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5F33FF" w14:textId="0BF09940" w:rsidR="00116BA4" w:rsidRDefault="004A58DF" w:rsidP="0066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caso di esclusione dalla graduatoria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somme versate in acconto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16BA4" w:rsidRPr="00116B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</w:t>
      </w:r>
      <w:r w:rsidR="00116BA4" w:rsidRPr="00116B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restituit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16BA4" w:rsidRPr="00116B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</w:t>
      </w:r>
      <w:r w:rsidR="00324B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richiede</w:t>
      </w:r>
      <w:r w:rsidR="00116BA4" w:rsidRPr="00116B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nti, senza interessi, nel termine massimo di trenta giorni dalla 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scadenza del termine per impugnare.</w:t>
      </w:r>
    </w:p>
    <w:p w14:paraId="685A8C4F" w14:textId="41678EAC" w:rsidR="009203C6" w:rsidRDefault="00116BA4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L’Amministrazione Comunale si riserva la facoltà insindacabile di non assegnare le concessioni di cui al presente bando, nonché di sospendere, revocare, modificare o riaprire i termini del presente Bando, motivando adeguatamente il provvedimento</w:t>
      </w:r>
      <w:r w:rsidR="006F637D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tal caso i soggetti partecipanti non potranno vantare diritti o pretese di sorta, a meno della restituzione degli acconti versat</w:t>
      </w:r>
      <w:r w:rsidR="008759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5A842" w14:textId="77777777" w:rsidR="00116BA4" w:rsidRDefault="00116BA4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tutto quanto non previsto nel presente bando si richiama il D.P.R. 10/09/90 n. 285.</w:t>
      </w:r>
    </w:p>
    <w:p w14:paraId="5DD4EBF4" w14:textId="0FFD669B" w:rsidR="00116BA4" w:rsidRDefault="00116BA4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atti sono depositati presso l’Ufficio </w:t>
      </w:r>
      <w:r w:rsidR="00A27C05">
        <w:rPr>
          <w:rFonts w:ascii="Times New Roman" w:hAnsi="Times New Roman" w:cs="Times New Roman"/>
          <w:sz w:val="24"/>
          <w:szCs w:val="24"/>
        </w:rPr>
        <w:t xml:space="preserve">Tecnico Comunale – </w:t>
      </w:r>
      <w:r w:rsidR="00304223">
        <w:rPr>
          <w:rFonts w:ascii="Times New Roman" w:hAnsi="Times New Roman" w:cs="Times New Roman"/>
          <w:sz w:val="24"/>
          <w:szCs w:val="24"/>
        </w:rPr>
        <w:t>R</w:t>
      </w:r>
      <w:r w:rsidR="00A27C05">
        <w:rPr>
          <w:rFonts w:ascii="Times New Roman" w:hAnsi="Times New Roman" w:cs="Times New Roman"/>
          <w:sz w:val="24"/>
          <w:szCs w:val="24"/>
        </w:rPr>
        <w:t>esponsabile de</w:t>
      </w:r>
      <w:r w:rsidR="00622C07">
        <w:rPr>
          <w:rFonts w:ascii="Times New Roman" w:hAnsi="Times New Roman" w:cs="Times New Roman"/>
          <w:sz w:val="24"/>
          <w:szCs w:val="24"/>
        </w:rPr>
        <w:t>l</w:t>
      </w:r>
      <w:r w:rsidR="00A27C05">
        <w:rPr>
          <w:rFonts w:ascii="Times New Roman" w:hAnsi="Times New Roman" w:cs="Times New Roman"/>
          <w:sz w:val="24"/>
          <w:szCs w:val="24"/>
        </w:rPr>
        <w:t xml:space="preserve"> servizi</w:t>
      </w:r>
      <w:r w:rsidR="009F0B9B">
        <w:rPr>
          <w:rFonts w:ascii="Times New Roman" w:hAnsi="Times New Roman" w:cs="Times New Roman"/>
          <w:sz w:val="24"/>
          <w:szCs w:val="24"/>
        </w:rPr>
        <w:t>o Tecnico Comunale</w:t>
      </w:r>
      <w:r w:rsidR="00A27C05">
        <w:rPr>
          <w:rFonts w:ascii="Times New Roman" w:hAnsi="Times New Roman" w:cs="Times New Roman"/>
          <w:sz w:val="24"/>
          <w:szCs w:val="24"/>
        </w:rPr>
        <w:t xml:space="preserve"> Geom. </w:t>
      </w:r>
      <w:r w:rsidR="00CD4970">
        <w:rPr>
          <w:rFonts w:ascii="Times New Roman" w:hAnsi="Times New Roman" w:cs="Times New Roman"/>
          <w:sz w:val="24"/>
          <w:szCs w:val="24"/>
        </w:rPr>
        <w:t>Mario Durante,</w:t>
      </w:r>
      <w:r w:rsidR="00A27C05">
        <w:rPr>
          <w:rFonts w:ascii="Times New Roman" w:hAnsi="Times New Roman" w:cs="Times New Roman"/>
          <w:sz w:val="24"/>
          <w:szCs w:val="24"/>
        </w:rPr>
        <w:t xml:space="preserve"> dove gli interessati potranno prender</w:t>
      </w:r>
      <w:r w:rsidR="00304223">
        <w:rPr>
          <w:rFonts w:ascii="Times New Roman" w:hAnsi="Times New Roman" w:cs="Times New Roman"/>
          <w:sz w:val="24"/>
          <w:szCs w:val="24"/>
        </w:rPr>
        <w:t>ne</w:t>
      </w:r>
      <w:r w:rsidR="00A27C05">
        <w:rPr>
          <w:rFonts w:ascii="Times New Roman" w:hAnsi="Times New Roman" w:cs="Times New Roman"/>
          <w:sz w:val="24"/>
          <w:szCs w:val="24"/>
        </w:rPr>
        <w:t xml:space="preserve"> visione nei giorni di apertura al pubblico.</w:t>
      </w:r>
    </w:p>
    <w:p w14:paraId="05DEB553" w14:textId="20C32164" w:rsidR="00A27C05" w:rsidRDefault="00875970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A27C05">
        <w:rPr>
          <w:rFonts w:ascii="Times New Roman" w:hAnsi="Times New Roman" w:cs="Times New Roman"/>
          <w:sz w:val="24"/>
          <w:szCs w:val="24"/>
        </w:rPr>
        <w:t xml:space="preserve">presente Bando sarà pubblicato all’Albo Pretorio </w:t>
      </w:r>
      <w:r w:rsidR="00304223">
        <w:rPr>
          <w:rFonts w:ascii="Times New Roman" w:hAnsi="Times New Roman" w:cs="Times New Roman"/>
          <w:sz w:val="24"/>
          <w:szCs w:val="24"/>
        </w:rPr>
        <w:t xml:space="preserve">on-line </w:t>
      </w:r>
      <w:r w:rsidR="00A27C05">
        <w:rPr>
          <w:rFonts w:ascii="Times New Roman" w:hAnsi="Times New Roman" w:cs="Times New Roman"/>
          <w:sz w:val="24"/>
          <w:szCs w:val="24"/>
        </w:rPr>
        <w:t>e sul sito internet del Comune.</w:t>
      </w:r>
    </w:p>
    <w:p w14:paraId="2E0CC0F4" w14:textId="3FBC71AB" w:rsidR="00622C07" w:rsidRPr="00304223" w:rsidRDefault="00A27C05" w:rsidP="00666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di offrire garanzie di trasparenza sarà data pubblicità al bando</w:t>
      </w:r>
      <w:r w:rsidR="00D503CE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23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23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pubblicazione a mezzo manifesti da affiggere ne</w:t>
      </w:r>
      <w:r w:rsidR="00304223">
        <w:rPr>
          <w:rFonts w:ascii="Times New Roman" w:hAnsi="Times New Roman" w:cs="Times New Roman"/>
          <w:sz w:val="24"/>
          <w:szCs w:val="24"/>
        </w:rPr>
        <w:t>gli spazi dedicati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04223">
        <w:rPr>
          <w:rFonts w:ascii="Times New Roman" w:hAnsi="Times New Roman" w:cs="Times New Roman"/>
          <w:sz w:val="24"/>
          <w:szCs w:val="24"/>
        </w:rPr>
        <w:t>l paese.</w:t>
      </w:r>
    </w:p>
    <w:p w14:paraId="15CC0BD5" w14:textId="77777777" w:rsidR="00666E62" w:rsidRDefault="00666E62" w:rsidP="00666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D1C25" w14:textId="3B61762D" w:rsidR="00A27C05" w:rsidRPr="005B012C" w:rsidRDefault="00A27C05" w:rsidP="00666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70">
        <w:rPr>
          <w:rFonts w:ascii="Times New Roman" w:hAnsi="Times New Roman" w:cs="Times New Roman"/>
          <w:b/>
          <w:sz w:val="24"/>
          <w:szCs w:val="24"/>
        </w:rPr>
        <w:t>Art.  7 INFORMAZIONI FINALI</w:t>
      </w:r>
    </w:p>
    <w:p w14:paraId="74FD9ADE" w14:textId="4422DE4C" w:rsidR="00A27C05" w:rsidRDefault="00A27C05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il presente avviso pubblico si intende assegnare la concessione dei loculi previst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progetto approvato come indicato in premessa, la cui realizzazione 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avverrà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“autofinanziamento” con i 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proventi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concession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loculi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02B3846" w14:textId="77777777" w:rsidR="00A27C05" w:rsidRDefault="00A27C05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C4657D" w14:textId="2351416B" w:rsidR="005B012C" w:rsidRDefault="00A27C05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Informativa ai sensi dell’art.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196/200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</w:t>
      </w:r>
      <w:proofErr w:type="spellEnd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</w:t>
      </w:r>
      <w:proofErr w:type="spellEnd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 </w:t>
      </w:r>
      <w:proofErr w:type="spellStart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</w:t>
      </w:r>
      <w:proofErr w:type="spellEnd"/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., 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contenente disposizioni a tutela delle persone e di altri soggetti rispetto al trattamento dei dati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dati personali forniti o che comunque verranno acquisiti durante lo svolgimento del procedimento i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staurato 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presente bando, sono soggett</w:t>
      </w:r>
      <w:r w:rsidR="003042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5B01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trattamento nel rispetto della succitata normativa.</w:t>
      </w:r>
    </w:p>
    <w:p w14:paraId="2376692B" w14:textId="77777777" w:rsidR="005B012C" w:rsidRDefault="005B012C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0AD5AA9" w14:textId="77E75683" w:rsidR="005B012C" w:rsidRDefault="005B012C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 Lorenzo Maggiore li</w:t>
      </w:r>
      <w:r w:rsidR="00B852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___/___/_____</w:t>
      </w:r>
    </w:p>
    <w:p w14:paraId="22EF72E7" w14:textId="77777777" w:rsidR="005B012C" w:rsidRDefault="005B012C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717C8A8" w14:textId="733610E7" w:rsidR="005B012C" w:rsidRDefault="00FE5262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6F63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6F63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RESPONSABILE DELL’</w:t>
      </w:r>
      <w:r w:rsidR="00264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UFFICIO TECNICO</w:t>
      </w:r>
      <w:bookmarkStart w:id="0" w:name="_GoBack"/>
      <w:bookmarkEnd w:id="0"/>
    </w:p>
    <w:p w14:paraId="4679AC79" w14:textId="77777777" w:rsidR="005B012C" w:rsidRDefault="005B012C" w:rsidP="00666E6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C0D4077" w14:textId="0673507F" w:rsidR="005B012C" w:rsidRPr="00FE5262" w:rsidRDefault="006F637D" w:rsidP="00FE5262">
      <w:pPr>
        <w:widowControl w:val="0"/>
        <w:autoSpaceDE w:val="0"/>
        <w:autoSpaceDN w:val="0"/>
        <w:adjustRightInd w:val="0"/>
        <w:spacing w:after="0" w:line="239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Geom</w:t>
      </w:r>
      <w:r w:rsidR="00FE5262" w:rsidRPr="00FE52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Mario Durante</w:t>
      </w:r>
      <w:r w:rsidR="00CD4970" w:rsidRPr="00FE5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</w:t>
      </w:r>
    </w:p>
    <w:sectPr w:rsidR="005B012C" w:rsidRPr="00FE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C73"/>
    <w:multiLevelType w:val="hybridMultilevel"/>
    <w:tmpl w:val="8B6AEAD0"/>
    <w:lvl w:ilvl="0" w:tplc="11961310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6693529D"/>
    <w:multiLevelType w:val="hybridMultilevel"/>
    <w:tmpl w:val="04C2E126"/>
    <w:lvl w:ilvl="0" w:tplc="9814B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7ACC"/>
    <w:multiLevelType w:val="hybridMultilevel"/>
    <w:tmpl w:val="0ED6ABEE"/>
    <w:lvl w:ilvl="0" w:tplc="F3046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78"/>
    <w:rsid w:val="00011E95"/>
    <w:rsid w:val="00014AC5"/>
    <w:rsid w:val="0005676D"/>
    <w:rsid w:val="000726EC"/>
    <w:rsid w:val="000A6CD2"/>
    <w:rsid w:val="000E0AF4"/>
    <w:rsid w:val="00106065"/>
    <w:rsid w:val="00114A15"/>
    <w:rsid w:val="00116BA4"/>
    <w:rsid w:val="00161B8F"/>
    <w:rsid w:val="00191C44"/>
    <w:rsid w:val="00243129"/>
    <w:rsid w:val="0026453D"/>
    <w:rsid w:val="00274FE9"/>
    <w:rsid w:val="00304223"/>
    <w:rsid w:val="00312ABE"/>
    <w:rsid w:val="00324BE5"/>
    <w:rsid w:val="003705ED"/>
    <w:rsid w:val="00421E38"/>
    <w:rsid w:val="004446C7"/>
    <w:rsid w:val="00484B04"/>
    <w:rsid w:val="00486B93"/>
    <w:rsid w:val="004A58DF"/>
    <w:rsid w:val="004D7FEA"/>
    <w:rsid w:val="004E350A"/>
    <w:rsid w:val="005067B0"/>
    <w:rsid w:val="00514DB9"/>
    <w:rsid w:val="00553539"/>
    <w:rsid w:val="0058136D"/>
    <w:rsid w:val="005829F0"/>
    <w:rsid w:val="005B012C"/>
    <w:rsid w:val="005E1268"/>
    <w:rsid w:val="00615A91"/>
    <w:rsid w:val="00622C07"/>
    <w:rsid w:val="00666E62"/>
    <w:rsid w:val="006C64C5"/>
    <w:rsid w:val="006C69DD"/>
    <w:rsid w:val="006E0FBE"/>
    <w:rsid w:val="006F637D"/>
    <w:rsid w:val="0070089C"/>
    <w:rsid w:val="007241AA"/>
    <w:rsid w:val="00775E9B"/>
    <w:rsid w:val="007E7F75"/>
    <w:rsid w:val="0081246F"/>
    <w:rsid w:val="00815284"/>
    <w:rsid w:val="00826A81"/>
    <w:rsid w:val="00853B63"/>
    <w:rsid w:val="00875970"/>
    <w:rsid w:val="008C6A49"/>
    <w:rsid w:val="009203C6"/>
    <w:rsid w:val="0096108B"/>
    <w:rsid w:val="009F0B9B"/>
    <w:rsid w:val="009F7E55"/>
    <w:rsid w:val="00A27C05"/>
    <w:rsid w:val="00A4188A"/>
    <w:rsid w:val="00B150C0"/>
    <w:rsid w:val="00B4685E"/>
    <w:rsid w:val="00B8521F"/>
    <w:rsid w:val="00BA674B"/>
    <w:rsid w:val="00C107F6"/>
    <w:rsid w:val="00C75878"/>
    <w:rsid w:val="00CD3E5B"/>
    <w:rsid w:val="00CD4970"/>
    <w:rsid w:val="00D160C7"/>
    <w:rsid w:val="00D23C7F"/>
    <w:rsid w:val="00D503CE"/>
    <w:rsid w:val="00D52B28"/>
    <w:rsid w:val="00DE02C5"/>
    <w:rsid w:val="00E42314"/>
    <w:rsid w:val="00E704B7"/>
    <w:rsid w:val="00E72734"/>
    <w:rsid w:val="00E92F72"/>
    <w:rsid w:val="00EA0430"/>
    <w:rsid w:val="00EB04F2"/>
    <w:rsid w:val="00F32FC6"/>
    <w:rsid w:val="00F77EFD"/>
    <w:rsid w:val="00F81C0C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707"/>
  <w15:docId w15:val="{3B5C153E-C2E0-4564-8639-9E87B8B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9DD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9203C6"/>
  </w:style>
  <w:style w:type="character" w:styleId="Collegamentoipertestuale">
    <w:name w:val="Hyperlink"/>
    <w:uiPriority w:val="99"/>
    <w:unhideWhenUsed/>
    <w:rsid w:val="009203C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.slm@asme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2FA1-1E6C-451A-9BDD-A2F378F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Sindaco</cp:lastModifiedBy>
  <cp:revision>33</cp:revision>
  <cp:lastPrinted>2021-01-28T07:13:00Z</cp:lastPrinted>
  <dcterms:created xsi:type="dcterms:W3CDTF">2020-12-28T17:05:00Z</dcterms:created>
  <dcterms:modified xsi:type="dcterms:W3CDTF">2021-01-28T07:14:00Z</dcterms:modified>
</cp:coreProperties>
</file>